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深圳标准先进性评价细则</w:t>
      </w:r>
    </w:p>
    <w:p>
      <w:pPr>
        <w:ind w:firstLine="3415" w:firstLineChars="945"/>
        <w:rPr>
          <w:rFonts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  <w:t>早教故事机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为对早教故事机产品标准进行深圳标准先进性评价，特制定本细则。本细则主要内容包括但不限于：主要技术指标确定程序、主要技术指标、先进性判定标准、先进性评价程序等。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具体如下：</w:t>
      </w:r>
    </w:p>
    <w:p>
      <w:pPr>
        <w:pStyle w:val="13"/>
        <w:numPr>
          <w:ilvl w:val="0"/>
          <w:numId w:val="2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主要技术指标确定程序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主要技术指标的确定程序包括：</w:t>
      </w:r>
    </w:p>
    <w:p>
      <w:pPr>
        <w:pStyle w:val="13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梳理国内外相关标准，形成相关的标准集合；</w:t>
      </w:r>
    </w:p>
    <w:p>
      <w:pPr>
        <w:pStyle w:val="13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收集产品相关的认证项目和检测要求；</w:t>
      </w:r>
    </w:p>
    <w:p>
      <w:pPr>
        <w:pStyle w:val="13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基于行业现状和市场需求，按照指标项的类型、层次、作用进行划分，形成指标池；</w:t>
      </w:r>
    </w:p>
    <w:p>
      <w:pPr>
        <w:pStyle w:val="13"/>
        <w:numPr>
          <w:ilvl w:val="0"/>
          <w:numId w:val="3"/>
        </w:numPr>
        <w:ind w:left="1134" w:hanging="534" w:firstLineChars="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征求行业协会、</w:t>
      </w:r>
      <w:r>
        <w:rPr>
          <w:rFonts w:hint="eastAsia" w:ascii="Times New Roman" w:hAnsi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专业技术机构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意见，召开专家评审会，在指标池中抽取核心指标，并确定核心指标基准线。</w:t>
      </w:r>
    </w:p>
    <w:p>
      <w:pPr>
        <w:pStyle w:val="13"/>
        <w:numPr>
          <w:ilvl w:val="0"/>
          <w:numId w:val="2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早教故事机产品标准评价</w:t>
      </w:r>
    </w:p>
    <w:p>
      <w:pPr>
        <w:pStyle w:val="13"/>
        <w:numPr>
          <w:ilvl w:val="0"/>
          <w:numId w:val="4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主要技术指标</w:t>
      </w:r>
    </w:p>
    <w:p>
      <w:pPr>
        <w:pStyle w:val="13"/>
        <w:ind w:firstLine="60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梳理早教故事机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产品指标项，在满足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国家标准GB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6675.1-2014《玩具安全第1部分：基本规范》、GB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6675.2-2014《玩具安全 第2部分：机械与物理性能》、GB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6675.3-2014《玩具安全 第3部分：易燃性能》、GB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6675.4-2014《玩具安全 第4部分：特定元素的迁移》、GB 19865-2005《电玩具的安全》、GB 31241-2014《便携式电子产品用锂离子电池和电池组 安全要求》等相关要求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的基础上，对指标的国内外现状进行分析研究，以国内领先、国际先进水平或者填补国内、国际空白为原则，从以下八类指标性质提出影响产品质量的主要技术指标：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产品创新，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能够进一步满足顾客需求，开辟新的市场；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符合产业政策引导方向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填补国内（国际）空白，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能够提升产品质量；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严于国家行业标准，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质量提升明显；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清洁生产，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材料选择、生产过程生态环保；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产品安全健康环保，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维护人体安全，有利身体健康，加强环境保护；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消费体验，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满足消费者实际需求，提升用户体验；</w:t>
      </w:r>
    </w:p>
    <w:p>
      <w:pPr>
        <w:pStyle w:val="13"/>
        <w:numPr>
          <w:ilvl w:val="0"/>
          <w:numId w:val="5"/>
        </w:numPr>
        <w:ind w:firstLineChars="0"/>
        <w:rPr>
          <w:rFonts w:asci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行业特殊要求，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符合并高于产品所在行业的特殊要求，带动质量明显提升。</w:t>
      </w:r>
    </w:p>
    <w:p>
      <w:pPr>
        <w:pStyle w:val="13"/>
        <w:numPr>
          <w:ilvl w:val="0"/>
          <w:numId w:val="4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先进性判定标准</w:t>
      </w:r>
    </w:p>
    <w:p>
      <w:pPr>
        <w:ind w:firstLine="600" w:firstLineChars="2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先进性判定标准见表1：</w:t>
      </w:r>
    </w:p>
    <w:p>
      <w:pPr>
        <w:ind w:firstLine="480" w:firstLineChars="200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  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早教故事机产品先进性判定标准</w:t>
      </w:r>
    </w:p>
    <w:p>
      <w:pPr>
        <w:rPr>
          <w:rFonts w:ascii="Times New Roman" w:hAnsi="Times New Roman" w:eastAsia="黑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1"/>
        <w:gridCol w:w="585"/>
        <w:gridCol w:w="690"/>
        <w:gridCol w:w="2276"/>
        <w:gridCol w:w="283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01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131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指标性质</w:t>
            </w:r>
          </w:p>
        </w:tc>
        <w:tc>
          <w:tcPr>
            <w:tcW w:w="1275" w:type="dxa"/>
            <w:gridSpan w:val="2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关键指标项</w:t>
            </w:r>
          </w:p>
        </w:tc>
        <w:tc>
          <w:tcPr>
            <w:tcW w:w="2276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指标先进值</w:t>
            </w:r>
          </w:p>
        </w:tc>
        <w:tc>
          <w:tcPr>
            <w:tcW w:w="2830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检测方法</w:t>
            </w:r>
          </w:p>
        </w:tc>
        <w:tc>
          <w:tcPr>
            <w:tcW w:w="2236" w:type="dxa"/>
            <w:shd w:val="clear" w:color="auto" w:fill="BFBF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pStyle w:val="23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消费体验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音质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频率响应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频率范围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在200Hz至8000Hz内，测得声压级的最大值和最小值差值不大于20dB；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（2）总谐波失真：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在1kHz，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总谐波失真（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THD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）不大于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20%。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12060.5-2011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声系统设备 第5部分：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扬声器主要性能测试方法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自动关机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具备自动关机功能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按产品说明书操作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具备自动关机的功能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来源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正版授权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检查正版授权的相关资质文件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pStyle w:val="23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严于国家行业标准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</w:t>
            </w:r>
          </w:p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靠</w:t>
            </w:r>
          </w:p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跌落测试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0-18个月：若m＜1.4kg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（148±5）cm，12次；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18个月以上：若m＜4.5kg，（103±5）cm，6次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测试后，产品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各项功能正常，仍应满足GB 6675.2-2014的相关要求。       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GB 6675.2-2014玩具安全 第2部分：机械与物理性能 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冲击测试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测试后，产品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各项功能正常，仍应满足GB 6675.2-2014的相关要求。</w:t>
            </w:r>
          </w:p>
        </w:tc>
        <w:tc>
          <w:tcPr>
            <w:tcW w:w="283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参考 BS EN 71-1进行测试，冲击物的质量（1±0.02）kg，选取直径为（80±2）mm的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砝码</w:t>
            </w:r>
            <w:r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，冲击高度为（100±2）mm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pStyle w:val="23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填补国内空白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材料安全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特定元素的迁移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pStyle w:val="21"/>
              <w:ind w:firstLine="0"/>
              <w:rPr>
                <w:rFonts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见附表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vAlign w:val="center"/>
          </w:tcPr>
          <w:p>
            <w:pPr>
              <w:pStyle w:val="21"/>
              <w:ind w:firstLine="0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Bidi"/>
                <w:color w:val="000000"/>
                <w:szCs w:val="21"/>
              </w:rPr>
              <w:t>BS EN 71-3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玩具安全 第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部分：特定元素的迁移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材料分类见附表2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邻苯二甲酸酯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pStyle w:val="21"/>
              <w:ind w:firstLine="0"/>
              <w:rPr>
                <w:rFonts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见附表3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DNOP、 DINP、 DIDP 按 GB/T 22048-2015 进行测试。其他邻苯二甲酸酯含量按 CPSC-CH-C1001-09.4 进行测试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701" w:type="dxa"/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多环芳烃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pStyle w:val="21"/>
              <w:ind w:firstLine="0"/>
              <w:rPr>
                <w:rFonts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见附表4</w:t>
            </w:r>
          </w:p>
        </w:tc>
        <w:tc>
          <w:tcPr>
            <w:tcW w:w="2830" w:type="dxa"/>
            <w:vAlign w:val="center"/>
          </w:tcPr>
          <w:p>
            <w:pPr>
              <w:pStyle w:val="21"/>
              <w:ind w:firstLine="0"/>
              <w:rPr>
                <w:rFonts w:asciiTheme="minorEastAsia" w:hAnsiTheme="minorEastAsia" w:eastAsiaTheme="minorEastAsia" w:cstheme="minorBidi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color w:val="000000"/>
                <w:szCs w:val="21"/>
              </w:rPr>
              <w:t>AfPS-GS-2019-01-PAK-EN</w:t>
            </w:r>
          </w:p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根据产品安全法案第21(1)第3条授予</w:t>
            </w:r>
            <w:r>
              <w:rPr>
                <w:rFonts w:asciiTheme="minorEastAsia" w:hAnsiTheme="minorEastAsia"/>
                <w:color w:val="000000"/>
                <w:szCs w:val="21"/>
              </w:rPr>
              <w:t>GS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标准规格的过程中，对多环芳烃(</w:t>
            </w:r>
            <w:r>
              <w:rPr>
                <w:rFonts w:asciiTheme="minorEastAsia" w:hAnsiTheme="minorEastAsia"/>
                <w:color w:val="000000"/>
                <w:szCs w:val="21"/>
              </w:rPr>
              <w:t>PAHs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)进行测试和评估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材料分类见表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4所述。其中可入口的情形可参考</w:t>
            </w:r>
          </w:p>
          <w:p>
            <w:pPr>
              <w:widowControl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Guideline on the interpretation of the concept “which can be placed in the mouth” as laid down in the entry 52 of Annex XVII to REACH Regulation 1907/2006的规定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。</w:t>
            </w:r>
          </w:p>
        </w:tc>
      </w:tr>
    </w:tbl>
    <w:p>
      <w:pPr>
        <w:rPr>
          <w:rFonts w:ascii="Times New Roman" w:hAnsi="Times New Roman" w:eastAsia="黑体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hint="eastAsia"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rPr>
          <w:rFonts w:ascii="Times New Roman" w:hAnsi="Times New Roman" w:eastAsia="黑体"/>
          <w:szCs w:val="20"/>
        </w:rPr>
      </w:pPr>
    </w:p>
    <w:p>
      <w:pPr>
        <w:tabs>
          <w:tab w:val="left" w:pos="7742"/>
        </w:tabs>
        <w:rPr>
          <w:rFonts w:ascii="Times New Roman" w:hAnsi="Times New Roman" w:eastAsia="黑体"/>
          <w:szCs w:val="20"/>
        </w:rPr>
      </w:pPr>
      <w:r>
        <w:rPr>
          <w:rFonts w:ascii="Times New Roman" w:hAnsi="Times New Roman" w:eastAsia="黑体"/>
          <w:szCs w:val="20"/>
        </w:rPr>
        <w:tab/>
      </w:r>
    </w:p>
    <w:p>
      <w:pPr>
        <w:pStyle w:val="21"/>
        <w:snapToGrid w:val="0"/>
        <w:ind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产品可触及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材料中可迁移元素的最大限量要求</w:t>
      </w:r>
    </w:p>
    <w:tbl>
      <w:tblPr>
        <w:tblStyle w:val="7"/>
        <w:tblW w:w="85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170"/>
        <w:gridCol w:w="2047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元素</w:t>
            </w:r>
          </w:p>
        </w:tc>
        <w:tc>
          <w:tcPr>
            <w:tcW w:w="648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最大迁移量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 类 mg/kg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II类 mg/kg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III类 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铝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5625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1406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锑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钡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硼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三价铬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六价铬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0.02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钴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铜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622.5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锰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镍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18.8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37.5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锶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1125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锡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有机锡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锌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3750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  <w:tc>
          <w:tcPr>
            <w:tcW w:w="2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59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注：材料分类见附表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1"/>
        <w:jc w:val="center"/>
      </w:pPr>
    </w:p>
    <w:p>
      <w:pPr>
        <w:pStyle w:val="21"/>
        <w:jc w:val="center"/>
      </w:pPr>
    </w:p>
    <w:p>
      <w:pPr>
        <w:pStyle w:val="21"/>
        <w:jc w:val="center"/>
      </w:pPr>
    </w:p>
    <w:p>
      <w:pPr>
        <w:pStyle w:val="21"/>
        <w:jc w:val="center"/>
      </w:pPr>
    </w:p>
    <w:p>
      <w:pPr>
        <w:pStyle w:val="21"/>
        <w:snapToGrid w:val="0"/>
        <w:ind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附表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 材料分类</w:t>
      </w:r>
    </w:p>
    <w:tbl>
      <w:tblPr>
        <w:tblStyle w:val="8"/>
        <w:tblW w:w="858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850"/>
        <w:gridCol w:w="993"/>
        <w:gridCol w:w="1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玩具材料</w:t>
            </w:r>
          </w:p>
        </w:tc>
        <w:tc>
          <w:tcPr>
            <w:tcW w:w="850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分类</w:t>
            </w: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993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分类</w:t>
            </w: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1071" w:type="dxa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分类</w:t>
            </w: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油漆、清漆、漆、印墨、聚合物、泡沫及类似涂料用涂料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聚合物及类似材料，包括层压板，不论是否纺织品加固的，但不包括其他纺织品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纸和纸板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纺织品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不论是天然的或合成的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玻璃，陶瓷，金属材料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木材、纤维板、硬板、骨头、皮革等实心材料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压缩油漆片、打算在玩具中留下痕迹或类似固态物质的材料(例如: 彩色铅笔芯、粉笔、蜡笔)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柔软的模型材料，包括模型粘土和石膏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液体颜料，包括手指涂料、清漆、漆、钢笔中的液体墨水和类似液体形式出现在玩具中的材料(例如: 液体颜料、气泡颜料)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胶棒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1"/>
        <w:jc w:val="center"/>
      </w:pPr>
    </w:p>
    <w:p>
      <w:pPr>
        <w:pStyle w:val="21"/>
        <w:ind w:firstLine="0"/>
      </w:pPr>
    </w:p>
    <w:p>
      <w:pPr>
        <w:pStyle w:val="21"/>
        <w:jc w:val="center"/>
      </w:pPr>
      <w:r>
        <w:rPr>
          <w:rFonts w:hint="eastAsia"/>
        </w:rPr>
        <w:t>附表</w:t>
      </w:r>
      <w:r>
        <w:t>3</w:t>
      </w:r>
      <w:r>
        <w:rPr>
          <w:rFonts w:hint="eastAsia"/>
        </w:rPr>
        <w:t>限定增塑剂类别和限量要求</w:t>
      </w:r>
    </w:p>
    <w:tbl>
      <w:tblPr>
        <w:tblStyle w:val="7"/>
        <w:tblW w:w="8637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38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限定增塑剂类别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限量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邻苯二甲酸二正辛酯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(DNOP) 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三种增塑剂总含量≤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邻苯二甲酸二异壬酯(DINP) </w:t>
            </w:r>
          </w:p>
        </w:tc>
        <w:tc>
          <w:tcPr>
            <w:tcW w:w="38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邻苯二甲酸二异癸酯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(DIDP)  </w:t>
            </w:r>
          </w:p>
        </w:tc>
        <w:tc>
          <w:tcPr>
            <w:tcW w:w="38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邻苯二甲酸双戊酯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(DPENP)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邻苯二甲酸二己酯（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DHEXP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邻苯二甲酸二环己酯（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DCHP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邻苯二甲酸二异丁酯（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DIBP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3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对于单一样品的单一材料的取样量不足</w:t>
            </w:r>
            <w:r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10mg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时予以豁免。</w:t>
            </w:r>
          </w:p>
        </w:tc>
      </w:tr>
    </w:tbl>
    <w:p>
      <w:pPr>
        <w:jc w:val="center"/>
        <w:rPr>
          <w:rFonts w:ascii="宋体" w:hAnsi="Times New Roman"/>
          <w:szCs w:val="20"/>
        </w:rPr>
      </w:pPr>
    </w:p>
    <w:p>
      <w:pPr>
        <w:widowControl/>
        <w:jc w:val="left"/>
        <w:rPr>
          <w:rFonts w:ascii="宋体" w:hAnsi="Times New Roman"/>
          <w:szCs w:val="20"/>
        </w:rPr>
        <w:sectPr>
          <w:headerReference r:id="rId7" w:type="default"/>
          <w:pgSz w:w="11906" w:h="16838"/>
          <w:pgMar w:top="1418" w:right="1531" w:bottom="1418" w:left="1531" w:header="851" w:footer="992" w:gutter="0"/>
          <w:cols w:space="425" w:num="1"/>
          <w:docGrid w:type="lines" w:linePitch="312" w:charSpace="0"/>
        </w:sectPr>
      </w:pPr>
      <w:r>
        <w:rPr>
          <w:rFonts w:ascii="宋体" w:hAnsi="Times New Roman"/>
          <w:szCs w:val="20"/>
        </w:rPr>
        <w:br w:type="page"/>
      </w:r>
    </w:p>
    <w:p>
      <w:pPr>
        <w:jc w:val="center"/>
        <w:rPr>
          <w:rFonts w:ascii="宋体" w:hAnsi="Times New Roman"/>
          <w:szCs w:val="20"/>
        </w:rPr>
      </w:pPr>
      <w:r>
        <w:rPr>
          <w:rFonts w:hint="eastAsia" w:ascii="宋体" w:hAnsi="Times New Roman"/>
          <w:szCs w:val="20"/>
        </w:rPr>
        <w:t>附表</w:t>
      </w:r>
      <w:r>
        <w:rPr>
          <w:rFonts w:ascii="宋体" w:hAnsi="Times New Roman"/>
          <w:szCs w:val="20"/>
        </w:rPr>
        <w:t xml:space="preserve">4 </w:t>
      </w:r>
      <w:r>
        <w:rPr>
          <w:rFonts w:hint="eastAsia" w:ascii="宋体" w:hAnsi="Times New Roman"/>
          <w:szCs w:val="20"/>
        </w:rPr>
        <w:t>多环芳烃限值</w:t>
      </w:r>
    </w:p>
    <w:p>
      <w:pPr>
        <w:tabs>
          <w:tab w:val="left" w:pos="7742"/>
        </w:tabs>
        <w:rPr>
          <w:rFonts w:ascii="Times New Roman" w:hAnsi="Times New Roman" w:eastAsia="黑体"/>
          <w:szCs w:val="20"/>
        </w:rPr>
      </w:pPr>
    </w:p>
    <w:tbl>
      <w:tblPr>
        <w:tblStyle w:val="7"/>
        <w:tblW w:w="8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1832"/>
        <w:gridCol w:w="1111"/>
        <w:gridCol w:w="1125"/>
        <w:gridCol w:w="663"/>
        <w:gridCol w:w="42"/>
        <w:gridCol w:w="1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意图放入口中的材料、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2009/48/EC范围内的玩具、可预见与皮肤长时间接触（超过30秒）的3岁以下儿童使用的产品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未包含在类别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1中，预期与皮肤会长时间接触（超过30秒），或者和皮肤反复短时间接触的材料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未包含在类别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1和2中，和皮肤短期接触（不超过30秒）的材料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儿童产品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其他类产品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儿童产品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其他类产品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Benzo[a]pyrene苯并[a]芘，mg/kg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Benzo[e]pyrene苯并[e]芘，mg/kg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Benzo[a]anthracene苯并[a]蒽，mg/kg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Benzo[b]fluoranthene苯并[b]荧蒽，mg/kg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Benzo[j]fluoranthene苯并[j]荧蒽，mg/kg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Benzo[k]fluoranthene苯并[k]荧蒽，mg/kg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Chrysene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Dibenzo[a,h]anthracene二苯并[a,h]蒽，mg/kg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Benzo[g,h,i]perylene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[g,h,i]苝（二萘嵌苯），mg/kg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Indeno[1,2,3-cd]pyrene茚并[1,2,3-cd]芘，mg/kg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4种总量（Phenanthrene菲，Anthracene蒽，Pyrene芘，Fluoranthene荧蒽），mg/kg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Naphthalene萘，mg/kg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15种PAHs总量，mg/kg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</w:tr>
    </w:tbl>
    <w:p>
      <w:pPr>
        <w:tabs>
          <w:tab w:val="left" w:pos="7742"/>
        </w:tabs>
        <w:rPr>
          <w:rFonts w:ascii="Times New Roman" w:hAnsi="Times New Roman" w:eastAsia="黑体"/>
          <w:szCs w:val="20"/>
        </w:rPr>
        <w:sectPr>
          <w:pgSz w:w="11906" w:h="16838"/>
          <w:pgMar w:top="1418" w:right="1531" w:bottom="1418" w:left="1531" w:header="851" w:footer="992" w:gutter="0"/>
          <w:cols w:space="425" w:num="1"/>
          <w:docGrid w:type="lines" w:linePitch="312" w:charSpace="0"/>
        </w:sectPr>
      </w:pPr>
    </w:p>
    <w:p>
      <w:pP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</w:t>
      </w:r>
      <w:r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先进性评价程序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8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实施日期</w:t>
      </w:r>
    </w:p>
    <w:p>
      <w:pPr>
        <w:ind w:firstLine="450" w:firstLineChars="15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本细则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月2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日起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实施。</w:t>
      </w:r>
    </w:p>
    <w:p>
      <w:pPr>
        <w:pStyle w:val="13"/>
        <w:numPr>
          <w:ilvl w:val="0"/>
          <w:numId w:val="8"/>
        </w:numPr>
        <w:ind w:firstLineChars="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发布机构</w:t>
      </w:r>
    </w:p>
    <w:p>
      <w:pPr>
        <w:ind w:firstLine="450" w:firstLineChars="150"/>
        <w:rPr>
          <w:color w:val="000000" w:themeColor="text1"/>
          <w:sz w:val="30"/>
          <w:szCs w:val="30"/>
          <w:highlight w:val="lightGray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深圳市标准技术研究院。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SSAE-A12-016:2020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  <w:rPr>
        <w:sz w:val="21"/>
        <w:szCs w:val="21"/>
      </w:rPr>
    </w:pPr>
    <w:r>
      <w:rPr>
        <w:rFonts w:hint="eastAsia"/>
        <w:sz w:val="21"/>
        <w:szCs w:val="21"/>
      </w:rPr>
      <w:t>编号：</w:t>
    </w:r>
    <w:r>
      <w:rPr>
        <w:sz w:val="21"/>
        <w:szCs w:val="21"/>
      </w:rPr>
      <w:t>SSAE-A12-016:2020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SSAE-A12-016:2020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806"/>
    <w:multiLevelType w:val="multilevel"/>
    <w:tmpl w:val="01BD680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C590C"/>
    <w:multiLevelType w:val="multilevel"/>
    <w:tmpl w:val="0A7C590C"/>
    <w:lvl w:ilvl="0" w:tentative="0">
      <w:start w:val="1"/>
      <w:numFmt w:val="decimal"/>
      <w:lvlText w:val="%1."/>
      <w:lvlJc w:val="left"/>
      <w:pPr>
        <w:ind w:left="1020" w:hanging="420"/>
      </w:pPr>
      <w:rPr>
        <w:rFonts w:hint="eastAsia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">
    <w:nsid w:val="14A23E3D"/>
    <w:multiLevelType w:val="multilevel"/>
    <w:tmpl w:val="14A23E3D"/>
    <w:lvl w:ilvl="0" w:tentative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C71400C"/>
    <w:multiLevelType w:val="multilevel"/>
    <w:tmpl w:val="1C71400C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 w:tentative="0">
      <w:start w:val="1"/>
      <w:numFmt w:val="chineseCountingThousand"/>
      <w:lvlText w:val="(%1)"/>
      <w:lvlJc w:val="left"/>
      <w:pPr>
        <w:ind w:left="1618" w:hanging="10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 w:tentative="0">
      <w:start w:val="1"/>
      <w:numFmt w:val="japaneseCounting"/>
      <w:lvlText w:val="%1、"/>
      <w:lvlJc w:val="left"/>
      <w:pPr>
        <w:ind w:left="56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4C50F90"/>
    <w:multiLevelType w:val="multilevel"/>
    <w:tmpl w:val="44C50F90"/>
    <w:lvl w:ilvl="0" w:tentative="0">
      <w:start w:val="1"/>
      <w:numFmt w:val="lowerLetter"/>
      <w:pStyle w:val="19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20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7">
    <w:nsid w:val="5AFD5C42"/>
    <w:multiLevelType w:val="multilevel"/>
    <w:tmpl w:val="5AFD5C42"/>
    <w:lvl w:ilvl="0" w:tentative="0">
      <w:start w:val="1"/>
      <w:numFmt w:val="bullet"/>
      <w:suff w:val="nothing"/>
      <w:lvlText w:val=""/>
      <w:lvlJc w:val="left"/>
      <w:pPr>
        <w:ind w:left="57" w:hanging="57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79"/>
    <w:rsid w:val="00003D79"/>
    <w:rsid w:val="00006FC4"/>
    <w:rsid w:val="00007213"/>
    <w:rsid w:val="00015ABF"/>
    <w:rsid w:val="00021FFC"/>
    <w:rsid w:val="0002358E"/>
    <w:rsid w:val="00027AB1"/>
    <w:rsid w:val="000406B2"/>
    <w:rsid w:val="000408AB"/>
    <w:rsid w:val="00052926"/>
    <w:rsid w:val="00052D2F"/>
    <w:rsid w:val="000550B1"/>
    <w:rsid w:val="00060262"/>
    <w:rsid w:val="00064DC0"/>
    <w:rsid w:val="000654E8"/>
    <w:rsid w:val="00065F91"/>
    <w:rsid w:val="00076893"/>
    <w:rsid w:val="00080EBD"/>
    <w:rsid w:val="000869D7"/>
    <w:rsid w:val="000927B5"/>
    <w:rsid w:val="00094C60"/>
    <w:rsid w:val="00096CE0"/>
    <w:rsid w:val="00097663"/>
    <w:rsid w:val="000A4852"/>
    <w:rsid w:val="000A4E9A"/>
    <w:rsid w:val="000A5EF6"/>
    <w:rsid w:val="000A666F"/>
    <w:rsid w:val="000B3567"/>
    <w:rsid w:val="000B4E6B"/>
    <w:rsid w:val="000C054B"/>
    <w:rsid w:val="000C0BB2"/>
    <w:rsid w:val="000C0BEA"/>
    <w:rsid w:val="000C0E75"/>
    <w:rsid w:val="000C2248"/>
    <w:rsid w:val="000D1045"/>
    <w:rsid w:val="000E2BEA"/>
    <w:rsid w:val="000E7C6A"/>
    <w:rsid w:val="000F50CE"/>
    <w:rsid w:val="000F5ECD"/>
    <w:rsid w:val="001013A1"/>
    <w:rsid w:val="00103545"/>
    <w:rsid w:val="0010544B"/>
    <w:rsid w:val="00112501"/>
    <w:rsid w:val="00113603"/>
    <w:rsid w:val="00116431"/>
    <w:rsid w:val="00117AC1"/>
    <w:rsid w:val="00120FB9"/>
    <w:rsid w:val="0012301B"/>
    <w:rsid w:val="00124792"/>
    <w:rsid w:val="00130C77"/>
    <w:rsid w:val="00134BDC"/>
    <w:rsid w:val="001443E7"/>
    <w:rsid w:val="0015060D"/>
    <w:rsid w:val="00152F5E"/>
    <w:rsid w:val="0015322F"/>
    <w:rsid w:val="001616CC"/>
    <w:rsid w:val="001624BA"/>
    <w:rsid w:val="001625C4"/>
    <w:rsid w:val="00162D9A"/>
    <w:rsid w:val="00163AC7"/>
    <w:rsid w:val="00163FA1"/>
    <w:rsid w:val="00166E6A"/>
    <w:rsid w:val="0017287D"/>
    <w:rsid w:val="001837D3"/>
    <w:rsid w:val="00186123"/>
    <w:rsid w:val="00186D55"/>
    <w:rsid w:val="001874C8"/>
    <w:rsid w:val="00190F1D"/>
    <w:rsid w:val="00194187"/>
    <w:rsid w:val="001A2B3F"/>
    <w:rsid w:val="001A4E92"/>
    <w:rsid w:val="001B4423"/>
    <w:rsid w:val="001B45FF"/>
    <w:rsid w:val="001C5BB8"/>
    <w:rsid w:val="001E1876"/>
    <w:rsid w:val="001F1EE6"/>
    <w:rsid w:val="001F6F68"/>
    <w:rsid w:val="00200830"/>
    <w:rsid w:val="00201694"/>
    <w:rsid w:val="00212D6F"/>
    <w:rsid w:val="00214A8A"/>
    <w:rsid w:val="002201E8"/>
    <w:rsid w:val="0022440C"/>
    <w:rsid w:val="00230E8F"/>
    <w:rsid w:val="00232103"/>
    <w:rsid w:val="002323D1"/>
    <w:rsid w:val="00232D0A"/>
    <w:rsid w:val="00245FB0"/>
    <w:rsid w:val="00246FDF"/>
    <w:rsid w:val="002477BD"/>
    <w:rsid w:val="00252A02"/>
    <w:rsid w:val="00257889"/>
    <w:rsid w:val="0026004F"/>
    <w:rsid w:val="00263E3B"/>
    <w:rsid w:val="00263FA8"/>
    <w:rsid w:val="00265ABD"/>
    <w:rsid w:val="00270BD4"/>
    <w:rsid w:val="002767A1"/>
    <w:rsid w:val="00276E81"/>
    <w:rsid w:val="00283676"/>
    <w:rsid w:val="00283BBC"/>
    <w:rsid w:val="002868D0"/>
    <w:rsid w:val="00286E56"/>
    <w:rsid w:val="002934EB"/>
    <w:rsid w:val="002A3891"/>
    <w:rsid w:val="002B10A1"/>
    <w:rsid w:val="002B1992"/>
    <w:rsid w:val="002B2106"/>
    <w:rsid w:val="002B2940"/>
    <w:rsid w:val="002C3C60"/>
    <w:rsid w:val="002C3CAC"/>
    <w:rsid w:val="002C61C1"/>
    <w:rsid w:val="002D15FC"/>
    <w:rsid w:val="002D36E6"/>
    <w:rsid w:val="002D6881"/>
    <w:rsid w:val="002E2D59"/>
    <w:rsid w:val="002E4FCE"/>
    <w:rsid w:val="002E640B"/>
    <w:rsid w:val="002E7755"/>
    <w:rsid w:val="002F14CC"/>
    <w:rsid w:val="002F33FF"/>
    <w:rsid w:val="003022EE"/>
    <w:rsid w:val="00306F0E"/>
    <w:rsid w:val="00317AF3"/>
    <w:rsid w:val="00342DF2"/>
    <w:rsid w:val="00343780"/>
    <w:rsid w:val="00345008"/>
    <w:rsid w:val="00350AF6"/>
    <w:rsid w:val="003510E6"/>
    <w:rsid w:val="0035319D"/>
    <w:rsid w:val="00354544"/>
    <w:rsid w:val="00354E8D"/>
    <w:rsid w:val="00365754"/>
    <w:rsid w:val="00373233"/>
    <w:rsid w:val="00376C65"/>
    <w:rsid w:val="00381073"/>
    <w:rsid w:val="0039113E"/>
    <w:rsid w:val="003920F5"/>
    <w:rsid w:val="003929F8"/>
    <w:rsid w:val="003A27D2"/>
    <w:rsid w:val="003A3FE0"/>
    <w:rsid w:val="003A5163"/>
    <w:rsid w:val="003A7D4B"/>
    <w:rsid w:val="003B60CE"/>
    <w:rsid w:val="003C2BF6"/>
    <w:rsid w:val="003C3516"/>
    <w:rsid w:val="003C4820"/>
    <w:rsid w:val="003C5E6D"/>
    <w:rsid w:val="003E1301"/>
    <w:rsid w:val="003E4483"/>
    <w:rsid w:val="003E4D2B"/>
    <w:rsid w:val="003F2C2D"/>
    <w:rsid w:val="003F3C16"/>
    <w:rsid w:val="004035D2"/>
    <w:rsid w:val="0040676A"/>
    <w:rsid w:val="00413578"/>
    <w:rsid w:val="004354A2"/>
    <w:rsid w:val="00440822"/>
    <w:rsid w:val="004457F9"/>
    <w:rsid w:val="004474A3"/>
    <w:rsid w:val="00450351"/>
    <w:rsid w:val="00454AE4"/>
    <w:rsid w:val="00454B59"/>
    <w:rsid w:val="004550A0"/>
    <w:rsid w:val="00457546"/>
    <w:rsid w:val="0046457F"/>
    <w:rsid w:val="00470198"/>
    <w:rsid w:val="00471A1C"/>
    <w:rsid w:val="0047462C"/>
    <w:rsid w:val="00477EE3"/>
    <w:rsid w:val="0048163A"/>
    <w:rsid w:val="0048506B"/>
    <w:rsid w:val="00487CB2"/>
    <w:rsid w:val="00492692"/>
    <w:rsid w:val="00492DF5"/>
    <w:rsid w:val="004A2217"/>
    <w:rsid w:val="004A3447"/>
    <w:rsid w:val="004A6C9F"/>
    <w:rsid w:val="004B2F8B"/>
    <w:rsid w:val="004B3725"/>
    <w:rsid w:val="004C4345"/>
    <w:rsid w:val="004C6060"/>
    <w:rsid w:val="004C678C"/>
    <w:rsid w:val="004C713B"/>
    <w:rsid w:val="004D3A2A"/>
    <w:rsid w:val="004D5D98"/>
    <w:rsid w:val="004D5F12"/>
    <w:rsid w:val="004E4F6D"/>
    <w:rsid w:val="004E51A4"/>
    <w:rsid w:val="004F0845"/>
    <w:rsid w:val="004F0D21"/>
    <w:rsid w:val="004F4235"/>
    <w:rsid w:val="0050347D"/>
    <w:rsid w:val="0051261D"/>
    <w:rsid w:val="005143D5"/>
    <w:rsid w:val="00520AA7"/>
    <w:rsid w:val="005211E4"/>
    <w:rsid w:val="00522B05"/>
    <w:rsid w:val="00527A7D"/>
    <w:rsid w:val="00553413"/>
    <w:rsid w:val="0056012D"/>
    <w:rsid w:val="00560C92"/>
    <w:rsid w:val="005616BC"/>
    <w:rsid w:val="00562F4E"/>
    <w:rsid w:val="005659C4"/>
    <w:rsid w:val="005707F5"/>
    <w:rsid w:val="00570894"/>
    <w:rsid w:val="00572505"/>
    <w:rsid w:val="005756DF"/>
    <w:rsid w:val="00575DCD"/>
    <w:rsid w:val="00575E65"/>
    <w:rsid w:val="00577CF2"/>
    <w:rsid w:val="00584283"/>
    <w:rsid w:val="00584F76"/>
    <w:rsid w:val="005A619A"/>
    <w:rsid w:val="005B10BD"/>
    <w:rsid w:val="005B3845"/>
    <w:rsid w:val="005B6C76"/>
    <w:rsid w:val="005C3869"/>
    <w:rsid w:val="005C7ED6"/>
    <w:rsid w:val="005D2B83"/>
    <w:rsid w:val="005D6E60"/>
    <w:rsid w:val="005E0B67"/>
    <w:rsid w:val="005E2690"/>
    <w:rsid w:val="005F2D54"/>
    <w:rsid w:val="005F4170"/>
    <w:rsid w:val="005F4EC9"/>
    <w:rsid w:val="00606698"/>
    <w:rsid w:val="00613F5F"/>
    <w:rsid w:val="006224BC"/>
    <w:rsid w:val="00625B9A"/>
    <w:rsid w:val="00632FE4"/>
    <w:rsid w:val="00637D6E"/>
    <w:rsid w:val="00640BD9"/>
    <w:rsid w:val="006433FB"/>
    <w:rsid w:val="00644E49"/>
    <w:rsid w:val="006529DE"/>
    <w:rsid w:val="0066087F"/>
    <w:rsid w:val="00661155"/>
    <w:rsid w:val="0067371F"/>
    <w:rsid w:val="00674606"/>
    <w:rsid w:val="006749F8"/>
    <w:rsid w:val="00676B1D"/>
    <w:rsid w:val="006817D8"/>
    <w:rsid w:val="00681899"/>
    <w:rsid w:val="00683FE6"/>
    <w:rsid w:val="00695905"/>
    <w:rsid w:val="0069602D"/>
    <w:rsid w:val="006A1451"/>
    <w:rsid w:val="006A512A"/>
    <w:rsid w:val="006B1237"/>
    <w:rsid w:val="006B1379"/>
    <w:rsid w:val="006B365A"/>
    <w:rsid w:val="006B55AB"/>
    <w:rsid w:val="006B72DB"/>
    <w:rsid w:val="006D1D2E"/>
    <w:rsid w:val="006D3D37"/>
    <w:rsid w:val="006D4659"/>
    <w:rsid w:val="006E6E62"/>
    <w:rsid w:val="006F16D0"/>
    <w:rsid w:val="00701583"/>
    <w:rsid w:val="00702E9C"/>
    <w:rsid w:val="007072F3"/>
    <w:rsid w:val="00712ED8"/>
    <w:rsid w:val="00715B34"/>
    <w:rsid w:val="00716FC7"/>
    <w:rsid w:val="00727212"/>
    <w:rsid w:val="00732650"/>
    <w:rsid w:val="0074043B"/>
    <w:rsid w:val="00741978"/>
    <w:rsid w:val="00742B79"/>
    <w:rsid w:val="00742F78"/>
    <w:rsid w:val="007471C1"/>
    <w:rsid w:val="00754F6C"/>
    <w:rsid w:val="00756246"/>
    <w:rsid w:val="00757C26"/>
    <w:rsid w:val="00761C69"/>
    <w:rsid w:val="00764851"/>
    <w:rsid w:val="00775A6E"/>
    <w:rsid w:val="0078007E"/>
    <w:rsid w:val="007A1AA4"/>
    <w:rsid w:val="007A1B35"/>
    <w:rsid w:val="007A2930"/>
    <w:rsid w:val="007A47EC"/>
    <w:rsid w:val="007A7D98"/>
    <w:rsid w:val="007B04B5"/>
    <w:rsid w:val="007B37E6"/>
    <w:rsid w:val="007C2E8A"/>
    <w:rsid w:val="007E0667"/>
    <w:rsid w:val="007E0E0D"/>
    <w:rsid w:val="007E1663"/>
    <w:rsid w:val="007E16BF"/>
    <w:rsid w:val="007E3F5C"/>
    <w:rsid w:val="007E5087"/>
    <w:rsid w:val="007E73F3"/>
    <w:rsid w:val="007F2EF0"/>
    <w:rsid w:val="007F38AF"/>
    <w:rsid w:val="007F56C0"/>
    <w:rsid w:val="007F7704"/>
    <w:rsid w:val="00810475"/>
    <w:rsid w:val="00811521"/>
    <w:rsid w:val="00815EF8"/>
    <w:rsid w:val="00817516"/>
    <w:rsid w:val="00822E3A"/>
    <w:rsid w:val="00824CD3"/>
    <w:rsid w:val="00824FFB"/>
    <w:rsid w:val="00827C37"/>
    <w:rsid w:val="008365A4"/>
    <w:rsid w:val="008557CF"/>
    <w:rsid w:val="008579FF"/>
    <w:rsid w:val="008600C3"/>
    <w:rsid w:val="0086225A"/>
    <w:rsid w:val="008640FA"/>
    <w:rsid w:val="008650F9"/>
    <w:rsid w:val="00865131"/>
    <w:rsid w:val="008714F4"/>
    <w:rsid w:val="00877355"/>
    <w:rsid w:val="008818AA"/>
    <w:rsid w:val="00883719"/>
    <w:rsid w:val="00884B47"/>
    <w:rsid w:val="00887121"/>
    <w:rsid w:val="00895BEA"/>
    <w:rsid w:val="008A4B79"/>
    <w:rsid w:val="008A509F"/>
    <w:rsid w:val="008B1B82"/>
    <w:rsid w:val="008B265C"/>
    <w:rsid w:val="008B7A6B"/>
    <w:rsid w:val="008C65B3"/>
    <w:rsid w:val="008C707B"/>
    <w:rsid w:val="008C7263"/>
    <w:rsid w:val="008D05D8"/>
    <w:rsid w:val="008D1076"/>
    <w:rsid w:val="008D226C"/>
    <w:rsid w:val="008D3588"/>
    <w:rsid w:val="008D727A"/>
    <w:rsid w:val="008E3006"/>
    <w:rsid w:val="008E3C5A"/>
    <w:rsid w:val="008E560F"/>
    <w:rsid w:val="008E6843"/>
    <w:rsid w:val="008F2D01"/>
    <w:rsid w:val="0090171C"/>
    <w:rsid w:val="009043CC"/>
    <w:rsid w:val="009048A2"/>
    <w:rsid w:val="00904C50"/>
    <w:rsid w:val="00913D56"/>
    <w:rsid w:val="00926B79"/>
    <w:rsid w:val="00926D44"/>
    <w:rsid w:val="009512A8"/>
    <w:rsid w:val="0095485E"/>
    <w:rsid w:val="00956A4D"/>
    <w:rsid w:val="00956C0D"/>
    <w:rsid w:val="00956F56"/>
    <w:rsid w:val="00961126"/>
    <w:rsid w:val="00964522"/>
    <w:rsid w:val="009670B5"/>
    <w:rsid w:val="00984B57"/>
    <w:rsid w:val="00984FD4"/>
    <w:rsid w:val="00984FF8"/>
    <w:rsid w:val="009859C8"/>
    <w:rsid w:val="0098621A"/>
    <w:rsid w:val="0098697C"/>
    <w:rsid w:val="009A7970"/>
    <w:rsid w:val="009B3470"/>
    <w:rsid w:val="009B75BC"/>
    <w:rsid w:val="009B7750"/>
    <w:rsid w:val="009C5B4D"/>
    <w:rsid w:val="009C7634"/>
    <w:rsid w:val="009D1FA6"/>
    <w:rsid w:val="009D5672"/>
    <w:rsid w:val="009E0C82"/>
    <w:rsid w:val="009E4198"/>
    <w:rsid w:val="009F1BBB"/>
    <w:rsid w:val="009F4101"/>
    <w:rsid w:val="00A0003A"/>
    <w:rsid w:val="00A00AF5"/>
    <w:rsid w:val="00A037C5"/>
    <w:rsid w:val="00A0466D"/>
    <w:rsid w:val="00A04CAD"/>
    <w:rsid w:val="00A05C73"/>
    <w:rsid w:val="00A105FA"/>
    <w:rsid w:val="00A12D64"/>
    <w:rsid w:val="00A1740C"/>
    <w:rsid w:val="00A208A6"/>
    <w:rsid w:val="00A26DF9"/>
    <w:rsid w:val="00A313D1"/>
    <w:rsid w:val="00A45776"/>
    <w:rsid w:val="00A45BBB"/>
    <w:rsid w:val="00A50C54"/>
    <w:rsid w:val="00A62141"/>
    <w:rsid w:val="00A7588B"/>
    <w:rsid w:val="00A7602F"/>
    <w:rsid w:val="00A775EB"/>
    <w:rsid w:val="00A77A9C"/>
    <w:rsid w:val="00A8290A"/>
    <w:rsid w:val="00A83A3F"/>
    <w:rsid w:val="00A860BD"/>
    <w:rsid w:val="00A8788D"/>
    <w:rsid w:val="00A87AC0"/>
    <w:rsid w:val="00A91699"/>
    <w:rsid w:val="00A95ADF"/>
    <w:rsid w:val="00A965F3"/>
    <w:rsid w:val="00A97674"/>
    <w:rsid w:val="00AA1E46"/>
    <w:rsid w:val="00AA4759"/>
    <w:rsid w:val="00AA51BF"/>
    <w:rsid w:val="00AB7DB7"/>
    <w:rsid w:val="00AC067D"/>
    <w:rsid w:val="00AC142B"/>
    <w:rsid w:val="00AC4A64"/>
    <w:rsid w:val="00AC4CBE"/>
    <w:rsid w:val="00AC5A7C"/>
    <w:rsid w:val="00AC7D7F"/>
    <w:rsid w:val="00AD5119"/>
    <w:rsid w:val="00AE1ABF"/>
    <w:rsid w:val="00AF0B13"/>
    <w:rsid w:val="00AF1FD8"/>
    <w:rsid w:val="00AF501E"/>
    <w:rsid w:val="00AF5B58"/>
    <w:rsid w:val="00AF67F8"/>
    <w:rsid w:val="00B06AF4"/>
    <w:rsid w:val="00B2185D"/>
    <w:rsid w:val="00B22C6B"/>
    <w:rsid w:val="00B31F4E"/>
    <w:rsid w:val="00B3689C"/>
    <w:rsid w:val="00B53782"/>
    <w:rsid w:val="00B54D64"/>
    <w:rsid w:val="00B57C40"/>
    <w:rsid w:val="00B71B0E"/>
    <w:rsid w:val="00B75DF9"/>
    <w:rsid w:val="00B81C16"/>
    <w:rsid w:val="00B82105"/>
    <w:rsid w:val="00B8231E"/>
    <w:rsid w:val="00B838AC"/>
    <w:rsid w:val="00B85AA6"/>
    <w:rsid w:val="00BB038D"/>
    <w:rsid w:val="00BB5304"/>
    <w:rsid w:val="00BC0BD4"/>
    <w:rsid w:val="00BC0C8A"/>
    <w:rsid w:val="00BC47DC"/>
    <w:rsid w:val="00BC7279"/>
    <w:rsid w:val="00BD58ED"/>
    <w:rsid w:val="00BE289E"/>
    <w:rsid w:val="00BE2F46"/>
    <w:rsid w:val="00BF5C13"/>
    <w:rsid w:val="00C0377E"/>
    <w:rsid w:val="00C12615"/>
    <w:rsid w:val="00C131FD"/>
    <w:rsid w:val="00C216FC"/>
    <w:rsid w:val="00C2399E"/>
    <w:rsid w:val="00C25C67"/>
    <w:rsid w:val="00C33EA8"/>
    <w:rsid w:val="00C345FD"/>
    <w:rsid w:val="00C351BF"/>
    <w:rsid w:val="00C37AB3"/>
    <w:rsid w:val="00C56A14"/>
    <w:rsid w:val="00C60AB4"/>
    <w:rsid w:val="00C67C11"/>
    <w:rsid w:val="00C74A48"/>
    <w:rsid w:val="00C74BD8"/>
    <w:rsid w:val="00C75EFF"/>
    <w:rsid w:val="00C76416"/>
    <w:rsid w:val="00C77C96"/>
    <w:rsid w:val="00C801D7"/>
    <w:rsid w:val="00C8051D"/>
    <w:rsid w:val="00C80F7A"/>
    <w:rsid w:val="00C87043"/>
    <w:rsid w:val="00C879C1"/>
    <w:rsid w:val="00C90881"/>
    <w:rsid w:val="00C95B44"/>
    <w:rsid w:val="00CA009E"/>
    <w:rsid w:val="00CA3DF6"/>
    <w:rsid w:val="00CB7D0D"/>
    <w:rsid w:val="00CC4517"/>
    <w:rsid w:val="00CD3ED3"/>
    <w:rsid w:val="00CE111B"/>
    <w:rsid w:val="00CE40F2"/>
    <w:rsid w:val="00CF10D0"/>
    <w:rsid w:val="00CF31CF"/>
    <w:rsid w:val="00CF3CF3"/>
    <w:rsid w:val="00CF7C9C"/>
    <w:rsid w:val="00D00E8E"/>
    <w:rsid w:val="00D167EC"/>
    <w:rsid w:val="00D21B09"/>
    <w:rsid w:val="00D224F1"/>
    <w:rsid w:val="00D226D7"/>
    <w:rsid w:val="00D26306"/>
    <w:rsid w:val="00D33A65"/>
    <w:rsid w:val="00D374C3"/>
    <w:rsid w:val="00D378F4"/>
    <w:rsid w:val="00D429F9"/>
    <w:rsid w:val="00D43BFC"/>
    <w:rsid w:val="00D46DA0"/>
    <w:rsid w:val="00D55CEA"/>
    <w:rsid w:val="00D55DFC"/>
    <w:rsid w:val="00D613F2"/>
    <w:rsid w:val="00D62107"/>
    <w:rsid w:val="00D62659"/>
    <w:rsid w:val="00D64959"/>
    <w:rsid w:val="00D65AA5"/>
    <w:rsid w:val="00D73ED4"/>
    <w:rsid w:val="00D909A1"/>
    <w:rsid w:val="00DA252D"/>
    <w:rsid w:val="00DB6414"/>
    <w:rsid w:val="00DD3819"/>
    <w:rsid w:val="00DD4DB9"/>
    <w:rsid w:val="00DD50E2"/>
    <w:rsid w:val="00DD7B6A"/>
    <w:rsid w:val="00DE1B7E"/>
    <w:rsid w:val="00DE3EDD"/>
    <w:rsid w:val="00DF10B1"/>
    <w:rsid w:val="00DF11C7"/>
    <w:rsid w:val="00DF7B93"/>
    <w:rsid w:val="00E00C5F"/>
    <w:rsid w:val="00E020D2"/>
    <w:rsid w:val="00E0634C"/>
    <w:rsid w:val="00E26027"/>
    <w:rsid w:val="00E27697"/>
    <w:rsid w:val="00E3382C"/>
    <w:rsid w:val="00E34BA4"/>
    <w:rsid w:val="00E3586E"/>
    <w:rsid w:val="00E36CD8"/>
    <w:rsid w:val="00E43D04"/>
    <w:rsid w:val="00E6017E"/>
    <w:rsid w:val="00E71C15"/>
    <w:rsid w:val="00E754EF"/>
    <w:rsid w:val="00E809A6"/>
    <w:rsid w:val="00E831D9"/>
    <w:rsid w:val="00E83DC7"/>
    <w:rsid w:val="00E846A6"/>
    <w:rsid w:val="00E85E02"/>
    <w:rsid w:val="00E87420"/>
    <w:rsid w:val="00E879E8"/>
    <w:rsid w:val="00E901D5"/>
    <w:rsid w:val="00E971F2"/>
    <w:rsid w:val="00EA0A92"/>
    <w:rsid w:val="00EA59F8"/>
    <w:rsid w:val="00EA6C2C"/>
    <w:rsid w:val="00EB1F66"/>
    <w:rsid w:val="00EB67DA"/>
    <w:rsid w:val="00EC6D67"/>
    <w:rsid w:val="00EC7CDE"/>
    <w:rsid w:val="00ED49C0"/>
    <w:rsid w:val="00ED7471"/>
    <w:rsid w:val="00EE0A22"/>
    <w:rsid w:val="00EE0EAE"/>
    <w:rsid w:val="00EF2543"/>
    <w:rsid w:val="00EF3FB5"/>
    <w:rsid w:val="00EF65D1"/>
    <w:rsid w:val="00F003BD"/>
    <w:rsid w:val="00F07ADE"/>
    <w:rsid w:val="00F10E5C"/>
    <w:rsid w:val="00F14C37"/>
    <w:rsid w:val="00F16259"/>
    <w:rsid w:val="00F1640B"/>
    <w:rsid w:val="00F23E1F"/>
    <w:rsid w:val="00F23FF2"/>
    <w:rsid w:val="00F259B5"/>
    <w:rsid w:val="00F33150"/>
    <w:rsid w:val="00F33F44"/>
    <w:rsid w:val="00F341EB"/>
    <w:rsid w:val="00F40027"/>
    <w:rsid w:val="00F405BC"/>
    <w:rsid w:val="00F40AB6"/>
    <w:rsid w:val="00F416C8"/>
    <w:rsid w:val="00F43FDB"/>
    <w:rsid w:val="00F5277D"/>
    <w:rsid w:val="00F53EB6"/>
    <w:rsid w:val="00F60A2E"/>
    <w:rsid w:val="00F618F4"/>
    <w:rsid w:val="00F64A14"/>
    <w:rsid w:val="00F67AC6"/>
    <w:rsid w:val="00F71138"/>
    <w:rsid w:val="00F71BB4"/>
    <w:rsid w:val="00F7394B"/>
    <w:rsid w:val="00F768DD"/>
    <w:rsid w:val="00F77C02"/>
    <w:rsid w:val="00F8297B"/>
    <w:rsid w:val="00F83671"/>
    <w:rsid w:val="00F8410E"/>
    <w:rsid w:val="00F85EDE"/>
    <w:rsid w:val="00F921AE"/>
    <w:rsid w:val="00F97EF6"/>
    <w:rsid w:val="00FA7EC7"/>
    <w:rsid w:val="00FB1DA3"/>
    <w:rsid w:val="00FB22A5"/>
    <w:rsid w:val="00FB42D4"/>
    <w:rsid w:val="00FB7660"/>
    <w:rsid w:val="00FC188B"/>
    <w:rsid w:val="00FD444F"/>
    <w:rsid w:val="00FF11CB"/>
    <w:rsid w:val="19F227B2"/>
    <w:rsid w:val="46DD09A7"/>
    <w:rsid w:val="761B5A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纯文本 Char"/>
    <w:basedOn w:val="9"/>
    <w:link w:val="3"/>
    <w:uiPriority w:val="0"/>
    <w:rPr>
      <w:rFonts w:ascii="宋体" w:hAnsi="Courier New" w:eastAsia="宋体" w:cs="Times New Roman"/>
      <w:kern w:val="2"/>
      <w:sz w:val="21"/>
    </w:rPr>
  </w:style>
  <w:style w:type="paragraph" w:customStyle="1" w:styleId="18">
    <w:name w:val="数字编号列项（二级）"/>
    <w:qFormat/>
    <w:uiPriority w:val="99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字母编号列项（一级）"/>
    <w:uiPriority w:val="99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编号列项（三级）"/>
    <w:uiPriority w:val="99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段"/>
    <w:basedOn w:val="1"/>
    <w:link w:val="22"/>
    <w:qFormat/>
    <w:uiPriority w:val="0"/>
    <w:pPr>
      <w:ind w:firstLine="425"/>
    </w:pPr>
    <w:rPr>
      <w:rFonts w:ascii="宋体" w:hAnsi="Times New Roman"/>
      <w:szCs w:val="20"/>
    </w:rPr>
  </w:style>
  <w:style w:type="character" w:customStyle="1" w:styleId="22">
    <w:name w:val="段 Char"/>
    <w:basedOn w:val="9"/>
    <w:link w:val="21"/>
    <w:qFormat/>
    <w:uiPriority w:val="0"/>
    <w:rPr>
      <w:rFonts w:ascii="宋体" w:hAnsi="Times New Roman" w:eastAsia="宋体" w:cs="Times New Roman"/>
      <w:kern w:val="2"/>
      <w:sz w:val="21"/>
    </w:rPr>
  </w:style>
  <w:style w:type="paragraph" w:styleId="23">
    <w:name w:val="List Paragraph"/>
    <w:basedOn w:val="1"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8</Pages>
  <Words>548</Words>
  <Characters>3125</Characters>
  <Lines>26</Lines>
  <Paragraphs>7</Paragraphs>
  <TotalTime>18</TotalTime>
  <ScaleCrop>false</ScaleCrop>
  <LinksUpToDate>false</LinksUpToDate>
  <CharactersWithSpaces>3666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2020-08-14T07:14:00Z</dcterms:created>
  <dc:creator>王丽娟</dc:creator>
  <cp:lastModifiedBy>周云鹏</cp:lastModifiedBy>
  <cp:lastPrinted>2019-12-17T09:31:00Z</cp:lastPrinted>
  <dcterms:modified xsi:type="dcterms:W3CDTF">2020-08-18T07:18:56Z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